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4C" w:rsidRDefault="008B624C" w:rsidP="008B624C">
      <w:pPr>
        <w:spacing w:line="360" w:lineRule="auto"/>
        <w:ind w:right="-540"/>
      </w:pPr>
      <w:r>
        <w:t xml:space="preserve">In 1858-59, a series of articles headed </w:t>
      </w:r>
      <w:r w:rsidR="00EB5AA6" w:rsidRPr="000621AC">
        <w:t>‘A V</w:t>
      </w:r>
      <w:r>
        <w:t>isit to the Western Goldfields’ appeared in the</w:t>
      </w:r>
      <w:r w:rsidR="00EB5AA6" w:rsidRPr="000621AC">
        <w:t xml:space="preserve"> </w:t>
      </w:r>
      <w:r w:rsidR="00EB5AA6" w:rsidRPr="005C4CB8">
        <w:rPr>
          <w:i/>
        </w:rPr>
        <w:t>Sydney Morning Herald</w:t>
      </w:r>
      <w:r w:rsidR="00EB5AA6" w:rsidRPr="000621AC">
        <w:t>.</w:t>
      </w:r>
      <w:r>
        <w:t xml:space="preserve">  </w:t>
      </w:r>
      <w:r w:rsidR="002A33D3">
        <w:t>Although this work was thought by some researchers to be that of Charles de Boos, research by Crabb et al. showed that it was much more likely to be the work of F</w:t>
      </w:r>
      <w:r w:rsidR="00FA0298">
        <w:t>rederick</w:t>
      </w:r>
      <w:r w:rsidR="002A33D3">
        <w:t xml:space="preserve"> Dalton</w:t>
      </w:r>
      <w:r w:rsidR="009963F9">
        <w:rPr>
          <w:rStyle w:val="FootnoteReference"/>
        </w:rPr>
        <w:footnoteReference w:id="1"/>
      </w:r>
      <w:r w:rsidR="002A33D3">
        <w:t>.</w:t>
      </w:r>
    </w:p>
    <w:p w:rsidR="00EB5AA6" w:rsidRDefault="00EB5AA6" w:rsidP="00EB5AA6">
      <w:pPr>
        <w:ind w:right="-540"/>
      </w:pPr>
    </w:p>
    <w:p w:rsidR="008B624C" w:rsidRPr="000621AC" w:rsidRDefault="008B624C" w:rsidP="00EB5AA6">
      <w:pPr>
        <w:ind w:right="-540"/>
      </w:pPr>
    </w:p>
    <w:tbl>
      <w:tblPr>
        <w:tblStyle w:val="TableGrid"/>
        <w:tblW w:w="9414" w:type="dxa"/>
        <w:tblLayout w:type="fixed"/>
        <w:tblLook w:val="01E0" w:firstRow="1" w:lastRow="1" w:firstColumn="1" w:lastColumn="1" w:noHBand="0" w:noVBand="0"/>
      </w:tblPr>
      <w:tblGrid>
        <w:gridCol w:w="1222"/>
        <w:gridCol w:w="1682"/>
        <w:gridCol w:w="735"/>
        <w:gridCol w:w="5775"/>
      </w:tblGrid>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Number</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Date</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Page</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rsidRPr="000621AC">
              <w:t>Places visited</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No number</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December 14</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8B624C" w:rsidP="001A238A">
            <w:r>
              <w:t xml:space="preserve">Titled “The Upper Turon”. </w:t>
            </w:r>
            <w:r w:rsidR="00EB5AA6">
              <w:t xml:space="preserve"> Sofala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December 21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Little Oakey, Atkinson’s Creek.  [Difficult to determine just where he is; also applies below.]</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December 23</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r>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Wattle and Bullock Flats, Oakey</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IV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December 24</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Oakey area, Pennyweight Creek, Sofala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January 10</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Turon area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VI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January 11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Turon area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VII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Ja</w:t>
            </w:r>
            <w:r>
              <w:t>nuary 18</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A diversion: see photocopy.</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VIII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January 21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Big Wallaby, Turon, where the Bathurst-Tambaroora Road crosses the river, Nuggetty Creek, Bathurst Road, Wyagdon</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IX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January 26</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Tablelands on the north bank of the Turon, Tambaroora.  “In the year 1852 I travelled through the </w:t>
            </w:r>
            <w:smartTag w:uri="urn:schemas-microsoft-com:office:smarttags" w:element="State">
              <w:smartTag w:uri="urn:schemas-microsoft-com:office:smarttags" w:element="place">
                <w:r>
                  <w:t>Utah</w:t>
                </w:r>
              </w:smartTag>
            </w:smartTag>
            <w:r>
              <w:t xml:space="preserve"> territory …” *</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January 27</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Turon/Macquarie, Dirt Hole, Pyramel Creek, </w:t>
            </w:r>
            <w:smartTag w:uri="urn:schemas-microsoft-com:office:smarttags" w:element="PlaceName">
              <w:r>
                <w:t>Louisa</w:t>
              </w:r>
            </w:smartTag>
            <w:r>
              <w:t xml:space="preserve"> </w:t>
            </w:r>
            <w:smartTag w:uri="urn:schemas-microsoft-com:office:smarttags" w:element="PlaceName">
              <w:r>
                <w:t>Creek</w:t>
              </w:r>
            </w:smartTag>
            <w:r>
              <w:t xml:space="preserve">, </w:t>
            </w:r>
            <w:smartTag w:uri="urn:schemas-microsoft-com:office:smarttags" w:element="place">
              <w:r>
                <w:t>Stoney Creek</w:t>
              </w:r>
            </w:smartTag>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January 28</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smartTag w:uri="urn:schemas-microsoft-com:office:smarttags" w:element="place">
              <w:smartTag w:uri="urn:schemas-microsoft-com:office:smarttags" w:element="PlaceName">
                <w:r>
                  <w:t>Louisa</w:t>
                </w:r>
              </w:smartTag>
              <w:r>
                <w:t xml:space="preserve"> </w:t>
              </w:r>
              <w:smartTag w:uri="urn:schemas-microsoft-com:office:smarttags" w:element="PlaceName">
                <w:r>
                  <w:t>Basin</w:t>
                </w:r>
              </w:smartTag>
            </w:smartTag>
            <w:r>
              <w:t>, Lewis’s Ponds, Louisa; comments on agriculture</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February 11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8</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Louisa, Burrangdong, Meroo; comments on Chinese, 5,000 in the Western Goldfields in one year.</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February 15</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smartTag w:uri="urn:schemas-microsoft-com:office:smarttags" w:element="City">
              <w:smartTag w:uri="urn:schemas-microsoft-com:office:smarttags" w:element="place">
                <w:r>
                  <w:t>Richardson</w:t>
                </w:r>
              </w:smartTag>
            </w:smartTag>
            <w:r>
              <w:t>’s Point, Clear Creek, Merinda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XIV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February 21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4-5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Meroo, Sailor’s Creek, Cricketers’ Flat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 xml:space="preserve">February </w:t>
            </w:r>
            <w:r>
              <w:t>24</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Meroo, Avisford, Edward’s Point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XVI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February 26</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5-6</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Meroo district, Sheepstation Point, Warrattra, </w:t>
            </w:r>
            <w:smartTag w:uri="urn:schemas-microsoft-com:office:smarttags" w:element="City">
              <w:smartTag w:uri="urn:schemas-microsoft-com:office:smarttags" w:element="place">
                <w:r>
                  <w:t>Richardson</w:t>
                </w:r>
              </w:smartTag>
            </w:smartTag>
            <w:r>
              <w:t>’s Point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XVII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March 8,</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Meroo district, Merrendee</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XVIII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March 16,</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Meroo district, Chinaman’s Point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XIX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March 17</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smartTag w:uri="urn:schemas-microsoft-com:office:smarttags" w:element="place">
              <w:r>
                <w:t>Upper Meroo</w:t>
              </w:r>
            </w:smartTag>
            <w:r>
              <w:t>, Meroo</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March 21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See printed copy</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April 5</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“Again leaving </w:t>
            </w:r>
            <w:smartTag w:uri="urn:schemas-microsoft-com:office:smarttags" w:element="City">
              <w:r>
                <w:t>Richardson</w:t>
              </w:r>
            </w:smartTag>
            <w:r>
              <w:t xml:space="preserve">’s Point”, Long Creek, </w:t>
            </w:r>
            <w:smartTag w:uri="urn:schemas-microsoft-com:office:smarttags" w:element="City">
              <w:smartTag w:uri="urn:schemas-microsoft-com:office:smarttags" w:element="place">
                <w:r>
                  <w:t>Campbell</w:t>
                </w:r>
              </w:smartTag>
            </w:smartTag>
            <w:r>
              <w:t>’s Creek, Doyle’s Bar</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April 8</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3</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Long Creek, Long Flat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April 15</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See printed copy; on </w:t>
            </w:r>
            <w:smartTag w:uri="urn:schemas-microsoft-com:office:smarttags" w:element="Street">
              <w:smartTag w:uri="urn:schemas-microsoft-com:office:smarttags" w:element="address">
                <w:r>
                  <w:t>Sydney Road</w:t>
                </w:r>
              </w:smartTag>
            </w:smartTag>
            <w:r>
              <w:t xml:space="preserve">, Crundine; comments </w:t>
            </w:r>
            <w:r>
              <w:lastRenderedPageBreak/>
              <w:t>on roads, unemployed men</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lastRenderedPageBreak/>
              <w:t>XXIV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April 16</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See printed copy, Cherry Trees Hill</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April 20</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Ben Bullen, Tabrabucca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XXVI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April 22</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Pyramul, Jackson’s Flat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XXVII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April 28</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Long Creek, Devil’s Hole Creek</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XXVIII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April 29</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Devil’s Hole Creek, Warratra</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XXIX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May 20</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Louisa, Maitland Bar, Golden Point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May 25</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8</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Golden Point, Yeoman’s Point, Grati Creek, World’s End</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XXXI</w:t>
            </w:r>
            <w:r>
              <w:t>**</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June 2</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From World’s End, Grati Creek, Leaning </w:t>
            </w:r>
            <w:smartTag w:uri="urn:schemas-microsoft-com:office:smarttags" w:element="City">
              <w:r>
                <w:t>Oak Creek</w:t>
              </w:r>
            </w:smartTag>
            <w:r>
              <w:t xml:space="preserve">, Merindee, </w:t>
            </w:r>
            <w:smartTag w:uri="urn:schemas-microsoft-com:office:smarttags" w:element="City">
              <w:smartTag w:uri="urn:schemas-microsoft-com:office:smarttags" w:element="place">
                <w:r>
                  <w:t>Waterloo</w:t>
                </w:r>
              </w:smartTag>
            </w:smartTag>
            <w:r>
              <w:t xml:space="preserve"> Flat, “Meroo farewell”.</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June 3</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8</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Unstable nature of gold mining; travels to Mudgee, Macdonald Creek, Guntawang</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XXXI</w:t>
            </w:r>
            <w:r>
              <w:t>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June 29</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Guntawang, Wyadra, Cudgegong</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XXXIV</w:t>
            </w:r>
          </w:p>
        </w:tc>
        <w:tc>
          <w:tcPr>
            <w:tcW w:w="1584" w:type="dxa"/>
            <w:tcBorders>
              <w:top w:val="single" w:sz="4" w:space="0" w:color="auto"/>
              <w:left w:val="single" w:sz="4" w:space="0" w:color="auto"/>
              <w:bottom w:val="single" w:sz="4" w:space="0" w:color="auto"/>
              <w:right w:val="single" w:sz="4" w:space="0" w:color="auto"/>
            </w:tcBorders>
          </w:tcPr>
          <w:p w:rsidR="00EB5AA6" w:rsidRDefault="00EB5AA6" w:rsidP="001A238A">
            <w:pPr>
              <w:ind w:right="-540"/>
            </w:pPr>
            <w:r>
              <w:t>July 14</w:t>
            </w:r>
          </w:p>
        </w:tc>
        <w:tc>
          <w:tcPr>
            <w:tcW w:w="692" w:type="dxa"/>
            <w:tcBorders>
              <w:top w:val="single" w:sz="4" w:space="0" w:color="auto"/>
              <w:left w:val="single" w:sz="4" w:space="0" w:color="auto"/>
              <w:bottom w:val="single" w:sz="4" w:space="0" w:color="auto"/>
              <w:right w:val="single" w:sz="4" w:space="0" w:color="auto"/>
            </w:tcBorders>
          </w:tcPr>
          <w:p w:rsidR="00EB5AA6" w:rsidRDefault="00EB5AA6" w:rsidP="001A238A">
            <w:pPr>
              <w:ind w:right="-540"/>
            </w:pPr>
            <w:r>
              <w:t>2</w:t>
            </w:r>
          </w:p>
        </w:tc>
        <w:tc>
          <w:tcPr>
            <w:tcW w:w="5439" w:type="dxa"/>
            <w:tcBorders>
              <w:top w:val="single" w:sz="4" w:space="0" w:color="auto"/>
              <w:left w:val="single" w:sz="4" w:space="0" w:color="auto"/>
              <w:bottom w:val="single" w:sz="4" w:space="0" w:color="auto"/>
              <w:right w:val="single" w:sz="4" w:space="0" w:color="auto"/>
            </w:tcBorders>
          </w:tcPr>
          <w:p w:rsidR="00EB5AA6" w:rsidRDefault="00EB5AA6" w:rsidP="001A238A">
            <w:r>
              <w:t>Guntawang, Rats Cstle,; murders of miners</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XXXV</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July 15</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See printed copy: gets lost travelling to Burrendong</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XXXVI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July 16</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t>5</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Burrendong district</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XXXVII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July 20</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Burrendong to </w:t>
            </w:r>
            <w:smartTag w:uri="urn:schemas-microsoft-com:office:smarttags" w:element="PlaceName">
              <w:r>
                <w:t>Macquarie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PlaceName">
                <w:r>
                  <w:t>Mullion</w:t>
                </w:r>
              </w:smartTag>
              <w:r>
                <w:t xml:space="preserve"> </w:t>
              </w:r>
              <w:smartTag w:uri="urn:schemas-microsoft-com:office:smarttags" w:element="PlaceType">
                <w:r>
                  <w:t>Range</w:t>
                </w:r>
              </w:smartTag>
            </w:smartTag>
            <w:r>
              <w:t>, Poor Man’s Reef</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XXXVIII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July 21</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8</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smartTag w:uri="urn:schemas-microsoft-com:office:smarttags" w:element="place">
              <w:r>
                <w:t>Stoney Creek</w:t>
              </w:r>
            </w:smartTag>
            <w:r>
              <w:t>, Muckerawa, Ironbarks, Ophir: “And this miserable, damp, gloomy spot is the world renowned Ophir!”</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XXXIX</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July 25</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smartTag w:uri="urn:schemas-microsoft-com:office:smarttags" w:element="place">
              <w:smartTag w:uri="urn:schemas-microsoft-com:office:smarttags" w:element="PlaceName">
                <w:r>
                  <w:t>Mullion</w:t>
                </w:r>
              </w:smartTag>
              <w:r>
                <w:t xml:space="preserve"> </w:t>
              </w:r>
              <w:smartTag w:uri="urn:schemas-microsoft-com:office:smarttags" w:element="PlaceType">
                <w:r>
                  <w:t>Range</w:t>
                </w:r>
              </w:smartTag>
            </w:smartTag>
            <w:r>
              <w:t>, Ironbarks, Summerhill</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XL</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July 26</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Summerhill, Lewis’s Ponds Creek</w:t>
            </w:r>
          </w:p>
        </w:tc>
      </w:tr>
      <w:tr w:rsidR="00EB5AA6" w:rsidRPr="000621AC" w:rsidTr="001A238A">
        <w:tc>
          <w:tcPr>
            <w:tcW w:w="115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XLI</w:t>
            </w:r>
          </w:p>
        </w:tc>
        <w:tc>
          <w:tcPr>
            <w:tcW w:w="1584"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August 3</w:t>
            </w:r>
          </w:p>
        </w:tc>
        <w:tc>
          <w:tcPr>
            <w:tcW w:w="692" w:type="dxa"/>
            <w:tcBorders>
              <w:top w:val="single" w:sz="4" w:space="0" w:color="auto"/>
              <w:left w:val="single" w:sz="4" w:space="0" w:color="auto"/>
              <w:bottom w:val="single" w:sz="4" w:space="0" w:color="auto"/>
              <w:right w:val="single" w:sz="4" w:space="0" w:color="auto"/>
            </w:tcBorders>
          </w:tcPr>
          <w:p w:rsidR="00EB5AA6" w:rsidRPr="000621AC" w:rsidRDefault="00EB5AA6" w:rsidP="001A238A">
            <w:pPr>
              <w:ind w:right="-540"/>
            </w:pPr>
            <w:r w:rsidRPr="000621AC">
              <w:t>2</w:t>
            </w:r>
          </w:p>
        </w:tc>
        <w:tc>
          <w:tcPr>
            <w:tcW w:w="5439" w:type="dxa"/>
            <w:tcBorders>
              <w:top w:val="single" w:sz="4" w:space="0" w:color="auto"/>
              <w:left w:val="single" w:sz="4" w:space="0" w:color="auto"/>
              <w:bottom w:val="single" w:sz="4" w:space="0" w:color="auto"/>
              <w:right w:val="single" w:sz="4" w:space="0" w:color="auto"/>
            </w:tcBorders>
          </w:tcPr>
          <w:p w:rsidR="00EB5AA6" w:rsidRPr="000621AC" w:rsidRDefault="00EB5AA6" w:rsidP="001A238A">
            <w:r>
              <w:t xml:space="preserve">Heading south, </w:t>
            </w:r>
            <w:smartTag w:uri="urn:schemas-microsoft-com:office:smarttags" w:element="City">
              <w:smartTag w:uri="urn:schemas-microsoft-com:office:smarttags" w:element="place">
                <w:r>
                  <w:t>Frederick</w:t>
                </w:r>
              </w:smartTag>
            </w:smartTag>
            <w:r>
              <w:t>’s Valley, Brown’s Creek, Carcoar, Ellerslie, Cowra</w:t>
            </w:r>
          </w:p>
        </w:tc>
      </w:tr>
    </w:tbl>
    <w:p w:rsidR="00EB5AA6" w:rsidRDefault="00EB5AA6" w:rsidP="00EB5AA6">
      <w:pPr>
        <w:ind w:right="-540"/>
      </w:pPr>
    </w:p>
    <w:p w:rsidR="00EB5AA6" w:rsidRDefault="00EB5AA6" w:rsidP="00EB5AA6">
      <w:pPr>
        <w:ind w:right="-540"/>
      </w:pPr>
      <w:r>
        <w:t>*</w:t>
      </w:r>
      <w:r>
        <w:tab/>
        <w:t>It does not seem possible that Charles de Boos visited the United States in 1852</w:t>
      </w:r>
      <w:r w:rsidR="008B624C">
        <w:t>,</w:t>
      </w:r>
      <w:r>
        <w:t xml:space="preserve"> as he was then living </w:t>
      </w:r>
      <w:r w:rsidR="008B624C">
        <w:t xml:space="preserve">in Melbourne </w:t>
      </w:r>
      <w:r>
        <w:t xml:space="preserve">and working </w:t>
      </w:r>
      <w:r w:rsidR="008B624C">
        <w:t xml:space="preserve">for </w:t>
      </w:r>
      <w:r w:rsidR="008B624C" w:rsidRPr="008B624C">
        <w:rPr>
          <w:i/>
        </w:rPr>
        <w:t>The Argus</w:t>
      </w:r>
      <w:r w:rsidR="008B624C">
        <w:t xml:space="preserve"> and the Victorian Legislative Council</w:t>
      </w:r>
      <w:r>
        <w:t>.</w:t>
      </w:r>
    </w:p>
    <w:p w:rsidR="00EB5AA6" w:rsidRDefault="00EB5AA6" w:rsidP="00EB5AA6">
      <w:pPr>
        <w:ind w:right="-540"/>
      </w:pPr>
      <w:r>
        <w:t xml:space="preserve">**  </w:t>
      </w:r>
      <w:r>
        <w:tab/>
        <w:t>Incorrectly numbered XXXII.</w:t>
      </w:r>
    </w:p>
    <w:p w:rsidR="008B624C" w:rsidRPr="000621AC" w:rsidRDefault="008B624C" w:rsidP="00EB5AA6">
      <w:pPr>
        <w:ind w:right="-540"/>
      </w:pPr>
    </w:p>
    <w:p w:rsidR="00EB5AA6" w:rsidRDefault="00EB5AA6" w:rsidP="00EB5AA6">
      <w:pPr>
        <w:spacing w:line="360" w:lineRule="auto"/>
        <w:ind w:right="-540"/>
      </w:pPr>
    </w:p>
    <w:p w:rsidR="00EB5AA6" w:rsidRDefault="00EB5AA6"/>
    <w:sectPr w:rsidR="00EB5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54" w:rsidRDefault="003E6154" w:rsidP="009963F9">
      <w:r>
        <w:separator/>
      </w:r>
    </w:p>
  </w:endnote>
  <w:endnote w:type="continuationSeparator" w:id="0">
    <w:p w:rsidR="003E6154" w:rsidRDefault="003E6154" w:rsidP="0099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54" w:rsidRDefault="003E6154" w:rsidP="009963F9">
      <w:r>
        <w:separator/>
      </w:r>
    </w:p>
  </w:footnote>
  <w:footnote w:type="continuationSeparator" w:id="0">
    <w:p w:rsidR="003E6154" w:rsidRDefault="003E6154" w:rsidP="009963F9">
      <w:r>
        <w:continuationSeparator/>
      </w:r>
    </w:p>
  </w:footnote>
  <w:footnote w:id="1">
    <w:p w:rsidR="009963F9" w:rsidRPr="005A1B2D" w:rsidRDefault="009963F9" w:rsidP="009963F9">
      <w:pPr>
        <w:pStyle w:val="NormalWeb"/>
        <w:spacing w:before="0" w:beforeAutospacing="0" w:after="0" w:afterAutospacing="0"/>
        <w:rPr>
          <w:lang w:val="en-US" w:eastAsia="en-US"/>
        </w:rPr>
      </w:pPr>
      <w:r>
        <w:rPr>
          <w:rStyle w:val="FootnoteReference"/>
        </w:rPr>
        <w:footnoteRef/>
      </w:r>
      <w:r>
        <w:t xml:space="preserve"> </w:t>
      </w:r>
      <w:r w:rsidRPr="005A1B2D">
        <w:rPr>
          <w:lang w:val="en-US" w:eastAsia="en-US"/>
        </w:rPr>
        <w:t>Peter Crabb, Alexis Antonia and Hugh Craig. "Who Wrote 'A Visit to the Western Goldfields'? Using Computers to Analyse Language in Historical Research." </w:t>
      </w:r>
      <w:r w:rsidR="0087441F">
        <w:t>History Australia | Volume 11 | Number 3 | December 2014</w:t>
      </w:r>
      <w:bookmarkStart w:id="0" w:name="_GoBack"/>
      <w:bookmarkEnd w:id="0"/>
    </w:p>
    <w:p w:rsidR="009963F9" w:rsidRPr="009963F9" w:rsidRDefault="009963F9">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87"/>
    <w:rsid w:val="002A33D3"/>
    <w:rsid w:val="00395F87"/>
    <w:rsid w:val="003E6056"/>
    <w:rsid w:val="003E6154"/>
    <w:rsid w:val="00433900"/>
    <w:rsid w:val="0087441F"/>
    <w:rsid w:val="008B624C"/>
    <w:rsid w:val="009963F9"/>
    <w:rsid w:val="009D5247"/>
    <w:rsid w:val="00AA2E6D"/>
    <w:rsid w:val="00E03783"/>
    <w:rsid w:val="00EB5AA6"/>
    <w:rsid w:val="00FA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1C174FA9-4A25-40BD-B748-32416305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F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63F9"/>
    <w:rPr>
      <w:sz w:val="20"/>
      <w:szCs w:val="20"/>
    </w:rPr>
  </w:style>
  <w:style w:type="character" w:customStyle="1" w:styleId="FootnoteTextChar">
    <w:name w:val="Footnote Text Char"/>
    <w:basedOn w:val="DefaultParagraphFont"/>
    <w:link w:val="FootnoteText"/>
    <w:uiPriority w:val="99"/>
    <w:semiHidden/>
    <w:rsid w:val="009963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3F9"/>
    <w:rPr>
      <w:vertAlign w:val="superscript"/>
    </w:rPr>
  </w:style>
  <w:style w:type="paragraph" w:styleId="NormalWeb">
    <w:name w:val="Normal (Web)"/>
    <w:basedOn w:val="Normal"/>
    <w:uiPriority w:val="99"/>
    <w:semiHidden/>
    <w:unhideWhenUsed/>
    <w:rsid w:val="009963F9"/>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Alexis Antonia</cp:lastModifiedBy>
  <cp:revision>6</cp:revision>
  <dcterms:created xsi:type="dcterms:W3CDTF">2017-04-23T22:02:00Z</dcterms:created>
  <dcterms:modified xsi:type="dcterms:W3CDTF">2018-01-19T06:40:00Z</dcterms:modified>
</cp:coreProperties>
</file>